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alkZZ1ayuNGBpLaFoI/bOCcB8pk0IgKVUvz7vOBK1vw=</DigestValue>
    </Reference>
    <Reference Type="http://www.w3.org/2000/09/xmldsig#Object" URI="#idOfficeObject">
      <DigestMethod Algorithm="urn:ietf:params:xml:ns:cpxmlsec:algorithms:gostr34112012-256"/>
      <DigestValue>2iW5SsNAyFtDPjQ21mf/iXr49J6Bl1bfMkG48/0pVVU=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2GgMVrzYGKGmX00wGLLpg4cWh+zibURgGv7JcpqO1bU=</DigestValue>
    </Reference>
  </SignedInfo>
  <SignatureValue>HXrekkc4RN/w3aCEyatarlZB9LH1fiM4+3GLjaJ8NEtW2vn6jAKVG1/Wd5Cx+YHs
4q+V2CZqhqAJj2K4yEwHVw==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2025-08-15T09:39:21Z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2025-08-15T09:39:21Z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