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EctVs1JdXmDsbRjREFsou+lmCYUrDe1MUVXNHBiEYuQ=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NsphxXqW0ixEQ6tn0K8A4Cp7h47MtOFzu55jR7cc6R8=</DigestValue>
    </Reference>
  </SignedInfo>
  <SignatureValue>9SH8iydq/KwKJ1TVoEjCaFlLPodx21Xhbz16bz9oi93QpwhBS/5frd+cpg7n1ZbQ
3HDp+WYcf/S0P3BY+5/m+A==</SignatureValue>
  <KeyInfo>
    <X509Data>
      <X509Certificate>MIIKqDCCClWgAwIBAgIQGKeKAGSy57dNgfyXjihexjAKBggqhQMHAQEDAjCCAYAx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HhcNMjUwMTEzMDgxNDUwWhcNMjYwMTEzMDgyNDUwWjCCAQYxGTAXBgNVBAgMENCz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hNGA0Ysg0KDQvtGB0YHQuNC4ggpgS1HvAAAAAAmjMB0GA1UdDgQWBBSTd4FELRFZ
3qc9VxdlGfM+JlvGmTAKBggqhQMHAQEDAgNBAJdAWyZPaLYem6wBJR7wgIX5LJUN
yol2yB/PMRy3jBmI8rsNS78L1Njtca+++JDh4NH/lHAUqV7n2ZbokArNPYs=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2025-08-13T13:45:18Z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2025-08-13T13:45:18Z</xd:SigningTime>
          <xd:SigningCertificate>
            <xd:Cert>
              <xd:CertDigest>
                <DigestMethod Algorithm="http://www.w3.org/2000/09/xmldsig#sha1"/>
                <DigestValue>FXWU6AA1ozxjQDfRb9s4G+0gDfc=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32771384477903385120197109037625007814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