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B89i8tyIaX4Yw9CVODgqipk3IDZt6SrG4kDVk2WIx9k=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EFURnGClZKVpbCmGDiCQJ3SwtELeCnJpSEeNmOi2gxc=</DigestValue>
    </Reference>
  </SignedInfo>
  <SignatureValue>3FyyAfc01HAcX5yTnE+JL+AMCCoTP1HZSucZCglLLqwLx+NwqCP8n4Uge34NzlNb
jsIvfduVsCEI1v8q8Bajbg==</SignatureValue>
  <KeyInfo>
    <X509Data>
      <X509Certificate>MIIIUDCCB/2gAwIBAgIRAiutjgCksh+wRjd61zCrn4owCgYIKoUDBwEBAwIwggFB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VQQDDBzQntCe0J4gItCh0LXRgNGC0YPQvC3Qn9GA0L4iMB4XDTI1MDMxODA4Mjky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0LrQsNGCINGB0L7QvtGC0LLQtdGC0YHRgtCy0LjRjyDihJYg0KHQpC8xMjQtNDcx
OCDQvtGCIDE1LjAxLjIwMjQMT9Ch0LXRgNGC0LjRhNC40LrQsNGCINGB0L7QvtGC
0LLQtdGC0YHRgtCy0LjRjyDihJYg0KHQpC8xMjgtNDI3MyDQvtGCIDEzLjA3LjIw
MjIwIwYFKoUDZG8EGgwYItCa0YDQuNC/0YLQvtCf0YDQviBDU1AiMHMGA1UdHwRs
MGowNaAzoDGGL2h0dHA6Ly9jYS5zZXJ0dW0tcHJvLnJ1L2NkcC9zZXJ0dW0tcHJv
LTIwMjQuY3JsMDGgL6AthitodHRwOi8vY2Euc2VydHVtLnJ1L2NkcC9zZXJ0dW0t
cHJvLTIwMjQuY3JsMIIBdgYDVR0jBIIBbTCCAWmAFNFG670cgEtSa6P4xBAQc07x
IpfSoYIBQ6SCAT8wggE7MSEwHwYJKoZIhvcNAQkBFhJkaXRAZGlnaXRhbC5nb3Yu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NzUxJjAkBgNVBAMMHdCc0LjQvdGG0LjRhNGA0Ysg0KDQvtGB0YHQuNC4ggoavZkB
AAAAAAofMB0GA1UdDgQWBBSjON/q9TC8G5XBVfIOweiRKIgnJTAKBggqhQMHAQED
AgNBAGOthwdMPc8vtp0IaJMaBTEWNkWDjF0XzvXdfM6JbENutn2/fkIg5bq7M25y
QFbfPVcJr98mRLJHTD+aQyaa7hk=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2025-04-30T11:52:32Z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2025-04-30T11:52:32Z</xd:SigningTime>
          <xd:SigningCertificate>
            <xd:Cert>
              <xd:CertDigest>
                <DigestMethod Algorithm="http://www.w3.org/2000/09/xmldsig#sha1"/>
                <DigestValue>0iLsVin0I5r8/g0KoAx44WskEv4=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738622685170289433230188463797100584842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